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  <w:sz w:val="22"/>
        </w:rPr>
        <w:t>CID: 2A55-4CFE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 xml:space="preserve">Sprawozdanie okresowe z realizacji programu ochrony powietrza oraz jego aktualizacji </w:t>
      </w:r>
      <w:r>
        <w:rPr>
          <w:rFonts w:eastAsia="Calibri" w:cs="Calibri" w:ascii="Calibri" w:hAnsi="Calibri"/>
          <w:b/>
          <w:i w:val="false"/>
          <w:color w:val="000000"/>
          <w:vertAlign w:val="superscript"/>
        </w:rPr>
        <w:t>1)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I. Informacja ogólna na temat sprawozdania okresowego z realizacji programu ochrony powietrza</w:t>
      </w:r>
    </w:p>
    <w:tbl>
      <w:tblPr>
        <w:tblW w:w="14001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4861"/>
        <w:gridCol w:w="8589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2023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PL0404PM10dBaPa_2018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0" w:name="idcb-w-lbl"/>
            <w:bookmarkEnd w:id="0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Adres strony internetowej, pod którym znajduje się sprawozdanie okresowe z realizacji programu ochrony powietrza</w:t>
            </w:r>
            <w:bookmarkStart w:id="1" w:name="idcb-w-lbl1"/>
            <w:bookmarkEnd w:id="1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https://bip.lipnowski.powiat.pl/artykuly/609/srodowisko-naturalne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Starostwo Powiatowe w Lipnie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Sierakowskiego 10B, Lipno, 87-600 Lipno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" w:name="idcd-w-lbl"/>
            <w:bookmarkEnd w:id="2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3" w:name="idcd-w-lbl1"/>
            <w:bookmarkEnd w:id="3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Katarzyna Klimaszewska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4" w:name="idcf-w-lbl"/>
            <w:bookmarkEnd w:id="4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id="5" w:name="idcf-w-lbl1"/>
            <w:bookmarkEnd w:id="5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543066174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6" w:name="idd1-w-lbl"/>
            <w:bookmarkEnd w:id="6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id="7" w:name="idd1-w-lbl1"/>
            <w:bookmarkEnd w:id="7"/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srodowisko@lipnowski.powiat.pl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8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  <w:bookmarkStart w:id="8" w:name="idca"/>
      <w:bookmarkEnd w:id="8"/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II. Zestawienie informacji na temat realizacji działań naprawczych</w:t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3500"/>
        <w:gridCol w:w="9543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PL0404_ZSO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Ograniczenie emisji z instalacji o małej mocy do 1 MW, w których następuje spalanie paliw stałych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9" w:name="idd4-w-lbl"/>
            <w:bookmarkEnd w:id="9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10" w:name="idd4-w-lbl1"/>
            <w:bookmarkEnd w:id="10"/>
          </w:p>
        </w:tc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Zastąpienie niskosprawnych urządzeń grzewczych opalanych paliwami stałymi podłączeniem do sieci ciepłowniczej lub kotłami na ogrzewanie gazowe, elektryczne, zasilanymi olejem opałowym, OZE lub kotłami węglowymi/na biomasę spełniającymi wymagania ekoprojektu w budynkach mieszkalnych, lokalach, budynkach użyteczności publicznej, budynkach usługowych, produkcyjnych i handlowych. Prowadzenie działań termomodernizacyjnych w celu zwiększenia efektywności energetycznej budynków, w których dokonywana jest wymiana urządzeń grzewczych.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270" cy="1968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style="position:absolute;margin-left:0pt;margin-top:-1.55pt;width:0pt;height:1.45pt;mso-position-horizontal:center;mso-position-vertical:top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2023 - lipiec 2023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Lipno: Plac 11-go Listopada</w: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nowo wybudowanych budynków mieszkalnych lub lokali, które wykorzystują niskoemisyjne lub zeroemisyjne źródła ciepła [szt.]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11" w:name="idd6"/>
            <w:bookmarkStart w:id="12" w:name="idd6"/>
            <w:bookmarkEnd w:id="12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zlikwidowanych kotłów na paliwo stałe [szt.]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13" w:name="idd7"/>
            <w:bookmarkStart w:id="14" w:name="idd7"/>
            <w:bookmarkEnd w:id="14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[szt.] budynków, w tym jednorodzinnych i wielorodzinnych lub lokali, w których została dokonana:</w:t>
            </w:r>
          </w:p>
          <w:tbl>
            <w:tblPr>
              <w:tblW w:w="9422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711"/>
              <w:gridCol w:w="4710"/>
            </w:tblGrid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likwidacja kotła węglowego - podłączenie do sieci cieplnej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paliwa węglowego na gazowe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instalacja pompy ciepła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ręczne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automatycznie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ręcznie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automatycznie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ogrzewania węglowego na elektryczne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paliwa węglowego na olejowe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paliwa na gazowe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paliwa na olejowe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ręczny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automatyczny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ręczny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automatyczny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do sieci cieplnej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pompy ciepła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zastosowanie ogrzewania elektrycznego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15" w:name="idd8"/>
            <w:bookmarkStart w:id="16" w:name="idd8"/>
            <w:bookmarkEnd w:id="16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Powierzchnia [m²] budynków, w tym jednorodzinnych i wielorodzinnych lub lokali, w których została dokonana:</w:t>
            </w:r>
          </w:p>
          <w:tbl>
            <w:tblPr>
              <w:tblW w:w="9422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711"/>
              <w:gridCol w:w="4710"/>
            </w:tblGrid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likwidacja kotła węglowego - podłączenie do sieci cieplnej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paliwa węglowego na gazowe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instalacja pompy ciepła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ręczne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automatycznie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ręcznie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automatycznie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ogrzewania węglowego na elektryczne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zmiana paliwa węglowego na olejowe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paliwa na gazowe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paliwa na olejowe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ręczny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automatyczny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ręczny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automatyczny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do sieci cieplnej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pompy ciepła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zastosowanie ogrzewania elektrycznego</w:t>
                  </w:r>
                </w:p>
              </w:tc>
              <w:tc>
                <w:tcPr>
                  <w:tcW w:w="471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17" w:name="idd9"/>
            <w:bookmarkStart w:id="18" w:name="idd9"/>
            <w:bookmarkEnd w:id="18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Całkowita szacunkowa redukcja emisji [Mg/rok]</w: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PM10</w:t>
            </w:r>
          </w:p>
          <w:tbl>
            <w:tblPr>
              <w:tblW w:w="12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40"/>
            </w:tblGrid>
            <w:tr>
              <w:trPr>
                <w:trHeight w:val="30" w:hRule="atLeast"/>
              </w:trPr>
              <w:tc>
                <w:tcPr>
                  <w:tcW w:w="12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19" w:name="idda"/>
            <w:bookmarkStart w:id="20" w:name="idda"/>
            <w:bookmarkEnd w:id="20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B(a)P</w:t>
            </w:r>
          </w:p>
          <w:tbl>
            <w:tblPr>
              <w:tblW w:w="252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20"/>
            </w:tblGrid>
            <w:tr>
              <w:trPr>
                <w:trHeight w:val="30" w:hRule="atLeast"/>
              </w:trPr>
              <w:tc>
                <w:tcPr>
                  <w:tcW w:w="252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0,000000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21" w:name="iddb"/>
            <w:bookmarkStart w:id="22" w:name="iddb"/>
            <w:bookmarkEnd w:id="22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13600044,64</w:t>
            </w:r>
            <w:r>
              <w:rPr/>
              <w:br/>
              <w:br/>
            </w:r>
          </w:p>
          <w:tbl>
            <w:tblPr>
              <w:tblW w:w="4835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31"/>
              <w:gridCol w:w="1903"/>
            </w:tblGrid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3400044,00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1020000,00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3053719,38</w:t>
            </w:r>
            <w:r>
              <w:rPr/>
              <w:br/>
              <w:br/>
            </w:r>
          </w:p>
          <w:tbl>
            <w:tblPr>
              <w:tblW w:w="487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31"/>
              <w:gridCol w:w="1938"/>
            </w:tblGrid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763437,22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229028,20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3" w:name="iddc-w-lbl"/>
            <w:bookmarkEnd w:id="23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24" w:name="iddc-w-lbl1"/>
            <w:bookmarkEnd w:id="24"/>
          </w:p>
        </w:tc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4931"/>
        <w:gridCol w:w="8112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PL0404_EE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Edukacja ekologiczna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25" w:name="idde-w-lbl"/>
            <w:bookmarkEnd w:id="25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26" w:name="idde-w-lbl1"/>
            <w:bookmarkEnd w:id="26"/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Prowadzenie akcji edukacyjnych uświadamiających mieszkańcom: zagrożenia dla zdrowia, jakie niesie ze sobą zanieczyszczenie powietrza; wpływ spalania paliw niskiej jakości oraz odpadów na jakość powietrza oraz informowanie mieszkańców o zakazach związanych z postępowaniem z odpadami oraz wynikających z uchwały antysmogowej.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270" cy="1968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style="position:absolute;margin-left:0pt;margin-top:-1.55pt;width:0pt;height:1.45pt;mso-position-horizontal:center;mso-position-vertical:top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2023 - lipiec 2023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placówek oświatowych objętych edukacją ekologiczną [szt.]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5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27" w:name="ide0"/>
            <w:bookmarkStart w:id="28" w:name="ide0"/>
            <w:bookmarkEnd w:id="28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przeprowadzonych kampanii [szt.]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29" w:name="ide1"/>
            <w:bookmarkStart w:id="30" w:name="ide1"/>
            <w:bookmarkEnd w:id="30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przeprowadzonych akcji szkolnych [szt.]</w:t>
            </w:r>
          </w:p>
          <w:tbl>
            <w:tblPr>
              <w:tblW w:w="76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21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31" w:name="ide2"/>
            <w:bookmarkStart w:id="32" w:name="ide2"/>
            <w:bookmarkEnd w:id="32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przeprowadzonych konferencji [szt.]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33" w:name="ide3"/>
            <w:bookmarkStart w:id="34" w:name="ide3"/>
            <w:bookmarkEnd w:id="34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osób objętych działaniami informacyjnymi i edukacyjnymi [szt.]</w:t>
            </w:r>
          </w:p>
          <w:tbl>
            <w:tblPr>
              <w:tblW w:w="140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00"/>
            </w:tblGrid>
            <w:tr>
              <w:trPr>
                <w:trHeight w:val="30" w:hRule="atLeast"/>
              </w:trPr>
              <w:tc>
                <w:tcPr>
                  <w:tcW w:w="14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1049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35" w:name="ide4"/>
            <w:bookmarkStart w:id="36" w:name="ide4"/>
            <w:bookmarkEnd w:id="36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przygotowanych materiałów edukacyjnych [szt.]</w:t>
            </w:r>
          </w:p>
          <w:tbl>
            <w:tblPr>
              <w:tblW w:w="108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80"/>
            </w:tblGrid>
            <w:tr>
              <w:trPr>
                <w:trHeight w:val="30" w:hRule="atLeast"/>
              </w:trPr>
              <w:tc>
                <w:tcPr>
                  <w:tcW w:w="10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129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37" w:name="ide5"/>
            <w:bookmarkStart w:id="38" w:name="ide5"/>
            <w:bookmarkEnd w:id="38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0,00</w:t>
            </w:r>
            <w:r>
              <w:rPr/>
              <w:br/>
              <w:br/>
            </w:r>
          </w:p>
          <w:tbl>
            <w:tblPr>
              <w:tblW w:w="4835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31"/>
              <w:gridCol w:w="1903"/>
            </w:tblGrid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0,00</w:t>
            </w:r>
            <w:r>
              <w:rPr/>
              <w:br/>
              <w:br/>
            </w:r>
          </w:p>
          <w:tbl>
            <w:tblPr>
              <w:tblW w:w="487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31"/>
              <w:gridCol w:w="1938"/>
            </w:tblGrid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39" w:name="ide6-w-lbl"/>
            <w:bookmarkEnd w:id="39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40" w:name="ide6-w-lbl1"/>
            <w:bookmarkEnd w:id="40"/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tbl>
      <w:tblPr>
        <w:tblW w:w="1359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6229"/>
        <w:gridCol w:w="6814"/>
      </w:tblGrid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PL0404_KPP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Prowadzenie kontroli przestrzegania przepisów ograniczających używanie paliw lub urządzeń do celów grzewczych oraz zakazu spalania odpadów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41" w:name="ide8-w-lbl"/>
            <w:bookmarkEnd w:id="41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Opis</w:t>
            </w:r>
            <w:bookmarkStart w:id="42" w:name="ide8-w-lbl1"/>
            <w:bookmarkEnd w:id="42"/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Działalność kontrolna w zakresie przestrzegania zakazu spalania odpadów w kotłach i piecach, wypalania traw i łąk oraz przestrzegania zapisów wynikających z tzw. uchwały antysmogowej, o której mowa w art. 96 ustawy POŚ.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 0408</w:t>
            </w:r>
          </w:p>
          <w:p>
            <w:pPr>
              <w:pStyle w:val="Normal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270" cy="19685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style="position:absolute;margin-left:0pt;margin-top:-1.55pt;width:0pt;height:1.45pt;mso-position-horizontal:center;mso-position-vertical:top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powiat lipnowski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styczeń 2023 - lipiec 2023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krótkoterminowe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przeprowadzonych kontroli [szt.]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43" w:name="idea"/>
            <w:bookmarkStart w:id="44" w:name="idea"/>
            <w:bookmarkEnd w:id="44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popełnionych wykroczeń [szt.]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45" w:name="ideb"/>
            <w:bookmarkStart w:id="46" w:name="ideb"/>
            <w:bookmarkEnd w:id="46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udzielonych pouczeń [szt.]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47" w:name="idec"/>
            <w:bookmarkStart w:id="48" w:name="idec"/>
            <w:bookmarkEnd w:id="48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wystawionych mandatów [szt.]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  <w:bookmarkStart w:id="49" w:name="ided"/>
            <w:bookmarkStart w:id="50" w:name="ided"/>
            <w:bookmarkEnd w:id="50"/>
          </w:p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Liczba spraw skierowanych do sądu [szt.]</w:t>
            </w:r>
          </w:p>
          <w:tbl>
            <w:tblPr>
              <w:tblW w:w="44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  <w:bookmarkStart w:id="51" w:name="idee"/>
            <w:bookmarkStart w:id="52" w:name="idee"/>
            <w:bookmarkEnd w:id="52"/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0,00</w:t>
            </w:r>
            <w:r>
              <w:rPr/>
              <w:br/>
              <w:br/>
            </w:r>
          </w:p>
          <w:tbl>
            <w:tblPr>
              <w:tblW w:w="4835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31"/>
              <w:gridCol w:w="1903"/>
            </w:tblGrid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 0,00</w:t>
            </w:r>
            <w:r>
              <w:rPr/>
              <w:br/>
              <w:br/>
            </w:r>
          </w:p>
          <w:tbl>
            <w:tblPr>
              <w:tblW w:w="4870" w:type="dxa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31"/>
              <w:gridCol w:w="1938"/>
            </w:tblGrid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ind w:left="0" w:hanging="0"/>
                    <w:jc w:val="left"/>
                    <w:rPr/>
                  </w:pPr>
                  <w:r>
                    <w:rPr>
                      <w:rFonts w:eastAsia="Calibri" w:cs="Calibri" w:ascii="Calibri" w:hAnsi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bookmarkStart w:id="53" w:name="idef-w-lbl"/>
            <w:bookmarkEnd w:id="53"/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Uwagi</w:t>
            </w:r>
            <w:bookmarkStart w:id="54" w:name="idef-w-lbl1"/>
            <w:bookmarkEnd w:id="54"/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/>
        <w:br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 xml:space="preserve">Informacje dodatkowe o kierunkach i zakresie podjętych działań naprawczych – zgodnie z Dz.U.2023 poz. 350, §10 ust. 1, pkt 1                             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Sejmik Województwa w uchwale antysmogowej wprowadził wymagania jakościowe dla biomasy dopuszczonej do stosowania w województwie.</w:t>
      </w:r>
      <w:bookmarkStart w:id="55" w:name="idf2"/>
      <w:bookmarkEnd w:id="55"/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Podsumowanie kosztów realizacji działań naprawczych</w:t>
      </w:r>
    </w:p>
    <w:tbl>
      <w:tblPr>
        <w:tblW w:w="9575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5"/>
        <w:gridCol w:w="1759"/>
        <w:gridCol w:w="1601"/>
      </w:tblGrid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PLN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EUR</w:t>
            </w:r>
            <w:bookmarkStart w:id="56" w:name="idf5"/>
            <w:bookmarkEnd w:id="56"/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Szacunkowa wysokość całkowita kosztów, w tym: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13600044,64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3053719,38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Środki własne JST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3400044,00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763437,22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Środki WFOŚiGW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Środki NFOŚiGW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Fundusze unijne RPO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Fundusze unijne POIŚ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Inne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1020000,00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229028,20</w:t>
            </w:r>
            <w:bookmarkStart w:id="57" w:name="idf4"/>
            <w:bookmarkEnd w:id="57"/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Podsumowanie efektów ekologicznych</w:t>
      </w:r>
    </w:p>
    <w:tbl>
      <w:tblPr>
        <w:tblW w:w="9132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1"/>
        <w:gridCol w:w="6660"/>
      </w:tblGrid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Nazwa substancji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/>
                <w:i w:val="false"/>
                <w:color w:val="000000"/>
                <w:sz w:val="22"/>
              </w:rPr>
              <w:t>Całkowita szacunkowa redukcja emisji [Mg/rok]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PM10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PM2,5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B(a)P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0,000000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Benzen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Arsen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Nikiel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SO₂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NOx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CO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NMLZO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eastAsia="Calibri" w:cs="Calibri" w:ascii="Calibri" w:hAnsi="Calibri"/>
                <w:b w:val="false"/>
                <w:i w:val="false"/>
                <w:color w:val="000000"/>
                <w:sz w:val="22"/>
              </w:rPr>
              <w:t>0,00</w:t>
            </w:r>
            <w:bookmarkStart w:id="58" w:name="idf6"/>
            <w:bookmarkEnd w:id="58"/>
          </w:p>
        </w:tc>
      </w:tr>
    </w:tbl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>Objaśnienia: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1) Informacja dotycząca sprawozdania okresowego z realizacji programu ochrony powietrza jest tożsama z informacją dotyczącą sprawozdania okresowego z realizacji aktualizacji programu ochrony powietrza.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2) Kod strefy określony zgodnie z art. 87 ust. 2a ustawy z dnia 27 kwietnia 2001 r. – Prawo ochrony środowiska (Dz. U. z 2022 r. poz. 2556, z późn. zm.) w załączniku do tej ustawy.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3) 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4) 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5) Kod sytuacji przekroczenia służący do identyfikacji sytuacji przekroczeń w strefie. Każdej sytuacji przekroczenia nadaje się kod. Kod składa się z 7 pól: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a) kod kraju (dwa znaki: PL),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b) kod województwa (dwa znaki),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c) rok referencyjny, dla którego została wykonana roczna ocena jakości powietrza według art. 89 ustawy z dnia 27 kwietnia 2001 r. – Prawo ochrony środowiska (cztery cyfry),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d) kod strefy,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e) symbol zanieczyszczenia,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f) symbol czasu uśredniania (h/d/a/8) stężeń przekraczających poziom dopuszczalny lub poziom docelowy,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g) numer kolejny obszaru przekroczeń w strefie (dwa znaki).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Poszczególne pola należy oddzielać znakiem podkreślenia.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Przykład: PL_Mz_2018_PM10_d_01.</w:t>
      </w:r>
      <w:r>
        <w:rPr/>
        <w:br/>
      </w: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  <w:r>
        <w:br w:type="page"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  <w:bookmarkStart w:id="59" w:name="idf9"/>
      <w:bookmarkStart w:id="60" w:name="idf9"/>
      <w:bookmarkEnd w:id="60"/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/>
          <w:i w:val="false"/>
          <w:color w:val="000000"/>
        </w:rPr>
        <w:t xml:space="preserve">Sprawozdanie z realizacji planu działań krótkoterminowych </w:t>
      </w:r>
      <w:r>
        <w:rPr>
          <w:rFonts w:eastAsia="Calibri" w:cs="Calibri" w:ascii="Calibri" w:hAnsi="Calibri"/>
          <w:b/>
          <w:i w:val="false"/>
          <w:color w:val="000000"/>
          <w:vertAlign w:val="superscript"/>
        </w:rPr>
        <w:t>1)</w:t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/>
      </w:r>
    </w:p>
    <w:p>
      <w:pPr>
        <w:pStyle w:val="Normal"/>
        <w:spacing w:before="0" w:after="0"/>
        <w:ind w:left="0" w:hanging="0"/>
        <w:jc w:val="left"/>
        <w:rPr/>
      </w:pPr>
      <w:r>
        <w:rPr>
          <w:rFonts w:eastAsia="Calibri" w:cs="Calibri" w:ascii="Calibri" w:hAnsi="Calibri"/>
          <w:b w:val="false"/>
          <w:i w:val="false"/>
          <w:color w:val="000000"/>
          <w:sz w:val="22"/>
        </w:rPr>
        <w:t>Nie realizowano planu działań krótkoterminowych</w:t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>
      <w:lang w:val="pl-PL" w:eastAsia="en-US" w:bidi="ar-SA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Wyrnienie">
    <w:name w:val="Wyróżnienie"/>
    <w:basedOn w:val="DefaultParagraphFont"/>
    <w:uiPriority w:val="20"/>
    <w:qFormat/>
    <w:rsid w:val="00d1197d"/>
    <w:rPr>
      <w:i/>
      <w:iCs/>
    </w:rPr>
  </w:style>
  <w:style w:type="character" w:styleId="Czeinternetowe">
    <w:name w:val="Łącze internetowe"/>
    <w:basedOn w:val="DefaultParagraphFont"/>
    <w:uiPriority w:val="99"/>
    <w:unhideWhenUsed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Podtytu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LibreOffice/6.2.3.2$Windows_X86_64 LibreOffice_project/aecc05fe267cc68dde00352a451aa867b3b546ac</Application>
  <Pages>9</Pages>
  <Words>1792</Words>
  <Characters>12071</Characters>
  <CharactersWithSpaces>13673</CharactersWithSpaces>
  <Paragraphs>433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2023-12-18T14:07:04Z</dcterms:modified>
  <cp:revision>1</cp:revision>
  <dc:subject/>
  <dc:title/>
</cp:coreProperties>
</file>