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Karta  informacyjna</w:t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2"/>
          <w:szCs w:val="22"/>
          <w:u w:val="single"/>
        </w:rPr>
      </w:pPr>
      <w:r>
        <w:rPr>
          <w:b/>
          <w:i w:val="false"/>
          <w:iCs w:val="false"/>
          <w:color w:val="000000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b/>
          <w:i w:val="false"/>
          <w:iCs w:val="false"/>
          <w:color w:val="000000"/>
          <w:sz w:val="22"/>
          <w:szCs w:val="22"/>
          <w:u w:val="single"/>
        </w:rPr>
        <w:t>Określenie rodzaju lub zakresu sprawy:</w:t>
      </w:r>
      <w:r>
        <w:rPr>
          <w:b/>
          <w:i w:val="false"/>
          <w:iCs w:val="false"/>
          <w:color w:val="000000"/>
          <w:sz w:val="22"/>
          <w:szCs w:val="22"/>
        </w:rPr>
        <w:t xml:space="preserve"> </w:t>
      </w:r>
      <w:r>
        <w:rPr>
          <w:i w:val="false"/>
          <w:iCs w:val="false"/>
          <w:color w:val="000000"/>
          <w:sz w:val="22"/>
          <w:szCs w:val="22"/>
        </w:rPr>
        <w:t xml:space="preserve">Rozpatrzenie wniosku w sprawie hodowania lub utrzymywanie </w:t>
      </w:r>
      <w:r>
        <w:rPr>
          <w:rStyle w:val="Wyrnienie"/>
          <w:i w:val="false"/>
          <w:iCs w:val="false"/>
          <w:color w:val="000000"/>
          <w:sz w:val="22"/>
          <w:szCs w:val="22"/>
        </w:rPr>
        <w:t>chartów</w:t>
      </w:r>
      <w:r>
        <w:rPr>
          <w:i w:val="false"/>
          <w:iCs w:val="false"/>
          <w:color w:val="000000"/>
          <w:sz w:val="22"/>
          <w:szCs w:val="22"/>
        </w:rPr>
        <w:t xml:space="preserve"> rasowych lub ich mieszańców. </w:t>
      </w:r>
    </w:p>
    <w:p>
      <w:pPr>
        <w:pStyle w:val="Normal"/>
        <w:jc w:val="both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2"/>
          <w:szCs w:val="22"/>
          <w:u w:val="single"/>
        </w:rPr>
      </w:pPr>
      <w:r>
        <w:rPr>
          <w:b/>
          <w:i w:val="false"/>
          <w:iCs w:val="false"/>
          <w:color w:val="000000"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b/>
          <w:i w:val="false"/>
          <w:iCs w:val="false"/>
          <w:color w:val="000000"/>
          <w:sz w:val="22"/>
          <w:szCs w:val="22"/>
          <w:u w:val="single"/>
        </w:rPr>
        <w:t>Podstawa prawna:</w:t>
      </w:r>
      <w:r>
        <w:rPr>
          <w:i w:val="false"/>
          <w:iCs w:val="false"/>
          <w:color w:val="000000"/>
          <w:sz w:val="22"/>
          <w:szCs w:val="22"/>
        </w:rPr>
        <w:t xml:space="preserve"> Art. 10    ustawy z dnia 13 października 1995 r. Prawo łowieckie ( Dz.U.2015.2168 t.j. z pózn. zm).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2"/>
          <w:szCs w:val="22"/>
          <w:u w:val="single"/>
        </w:rPr>
      </w:pPr>
      <w:r>
        <w:rPr>
          <w:b/>
          <w:i w:val="false"/>
          <w:iCs w:val="false"/>
          <w:color w:val="000000"/>
          <w:sz w:val="22"/>
          <w:szCs w:val="22"/>
          <w:u w:val="single"/>
        </w:rPr>
        <w:t>Komórka   prowadząca sprawę: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  <w:t xml:space="preserve">Wydział Środowiska, Rolnictwa i Leśnictwa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2"/>
          <w:szCs w:val="22"/>
          <w:u w:val="single"/>
        </w:rPr>
      </w:pPr>
      <w:r>
        <w:rPr>
          <w:b/>
          <w:i w:val="false"/>
          <w:iCs w:val="false"/>
          <w:color w:val="000000"/>
          <w:sz w:val="22"/>
          <w:szCs w:val="22"/>
          <w:u w:val="single"/>
        </w:rPr>
        <w:t>Wymagane dokumenty:</w:t>
      </w:r>
    </w:p>
    <w:p>
      <w:pPr>
        <w:pStyle w:val="Normal"/>
        <w:numPr>
          <w:ilvl w:val="0"/>
          <w:numId w:val="5"/>
        </w:numPr>
        <w:spacing w:before="100" w:after="100"/>
        <w:rPr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  <w:t xml:space="preserve">pisemny wniosek właściciela o wydanie decyzji   w sprawie hodowania lub utrzymywania </w:t>
      </w:r>
      <w:r>
        <w:rPr>
          <w:rStyle w:val="Wyrnienie"/>
          <w:i w:val="false"/>
          <w:iCs w:val="false"/>
          <w:color w:val="000000"/>
          <w:sz w:val="22"/>
          <w:szCs w:val="22"/>
        </w:rPr>
        <w:t>chartów</w:t>
      </w:r>
      <w:r>
        <w:rPr>
          <w:i w:val="false"/>
          <w:iCs w:val="false"/>
          <w:color w:val="000000"/>
          <w:sz w:val="22"/>
          <w:szCs w:val="22"/>
        </w:rPr>
        <w:t xml:space="preserve"> rasowych lub ich mieszańców, którego  wzór, możliwy  do  pobrania  w  formie  elektronicznej, znajduje się na  tej  samej stronie  internetowej, na  której  korzysta  się z  niniejszej  karty.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 w:val="false"/>
          <w:iCs w:val="false"/>
          <w:color w:val="000000"/>
          <w:sz w:val="22"/>
          <w:szCs w:val="22"/>
        </w:rPr>
        <w:t xml:space="preserve">Opis warunków hodowania lub utrzymywania </w:t>
      </w:r>
      <w:r>
        <w:rPr>
          <w:rStyle w:val="Wyrnienie"/>
          <w:i w:val="false"/>
          <w:iCs w:val="false"/>
          <w:color w:val="000000"/>
          <w:sz w:val="22"/>
          <w:szCs w:val="22"/>
        </w:rPr>
        <w:t>chartów</w:t>
      </w:r>
      <w:r>
        <w:rPr>
          <w:i w:val="false"/>
          <w:iCs w:val="false"/>
          <w:color w:val="000000"/>
          <w:sz w:val="22"/>
          <w:szCs w:val="22"/>
        </w:rPr>
        <w:t xml:space="preserve"> rasowych lub ich mieszańców – zgodnie z Rozporządzeniem Ministra Rolnictwa i Rozwoju Wsi </w:t>
      </w:r>
      <w:r>
        <w:rPr>
          <w:i w:val="false"/>
          <w:iCs w:val="false"/>
          <w:sz w:val="22"/>
          <w:szCs w:val="22"/>
        </w:rPr>
        <w:t xml:space="preserve">z dnia 5 lipca 2010 r.w sprawie warunków i sposobu hodowania i utrzymywania chartów rasowych oraz ich mieszańców </w:t>
      </w:r>
      <w:r>
        <w:rPr>
          <w:i w:val="false"/>
          <w:iCs w:val="false"/>
          <w:color w:val="000000"/>
          <w:sz w:val="22"/>
          <w:szCs w:val="22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</w:rPr>
        <w:t>( Dz. U. z 2010 r., Nr 135, poz. 909 )</w:t>
      </w:r>
    </w:p>
    <w:p>
      <w:pPr>
        <w:pStyle w:val="Normal"/>
        <w:jc w:val="both"/>
        <w:rPr>
          <w:rFonts w:ascii="Times New Roman" w:hAnsi="Times New Roman"/>
          <w:b/>
          <w:b/>
          <w:i w:val="false"/>
          <w:i w:val="false"/>
          <w:iCs w:val="false"/>
          <w:sz w:val="22"/>
          <w:szCs w:val="22"/>
          <w:u w:val="single"/>
        </w:rPr>
      </w:pPr>
      <w:r>
        <w:rPr>
          <w:b/>
          <w:i w:val="false"/>
          <w:iCs w:val="false"/>
          <w:sz w:val="22"/>
          <w:szCs w:val="22"/>
          <w:u w:val="single"/>
        </w:rPr>
        <w:t>Opłaty skarbowe są wnoszone w formie wpłaty gotówkowej lub przelewem  z chwilą złożenia wniosku:</w:t>
      </w:r>
    </w:p>
    <w:p>
      <w:pPr>
        <w:pStyle w:val="Normal"/>
        <w:jc w:val="both"/>
        <w:rPr/>
      </w:pPr>
      <w:r>
        <w:rPr>
          <w:i w:val="false"/>
          <w:iCs w:val="false"/>
          <w:color w:val="000000"/>
          <w:sz w:val="22"/>
          <w:szCs w:val="22"/>
        </w:rPr>
        <w:t xml:space="preserve">- od decyzji starosty w sprawie hodowania lub utrzymywania </w:t>
      </w:r>
      <w:r>
        <w:rPr>
          <w:rStyle w:val="Wyrnienie"/>
          <w:i w:val="false"/>
          <w:iCs w:val="false"/>
          <w:color w:val="000000"/>
          <w:sz w:val="22"/>
          <w:szCs w:val="22"/>
        </w:rPr>
        <w:t>chartów</w:t>
      </w:r>
      <w:r>
        <w:rPr>
          <w:i w:val="false"/>
          <w:iCs w:val="false"/>
          <w:color w:val="000000"/>
          <w:sz w:val="22"/>
          <w:szCs w:val="22"/>
        </w:rPr>
        <w:t xml:space="preserve"> rasowych lub ich mieszańców – </w:t>
      </w:r>
      <w:r>
        <w:rPr>
          <w:i w:val="false"/>
          <w:iCs w:val="false"/>
          <w:color w:val="000000"/>
          <w:sz w:val="22"/>
          <w:szCs w:val="22"/>
        </w:rPr>
        <w:t>82</w:t>
      </w:r>
      <w:r>
        <w:rPr>
          <w:i w:val="false"/>
          <w:iCs w:val="false"/>
          <w:color w:val="000000"/>
          <w:sz w:val="22"/>
          <w:szCs w:val="22"/>
        </w:rPr>
        <w:t xml:space="preserve"> zł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 xml:space="preserve">Podstawa prawna do ustalenia opłaty: art.  6, cz. I pkt. 53  załącznika do ustawy   z dnia 16 listopada 2006 r. o opłacie skarbowej   ( t.j. Dz. U. 2016.1827, z późn. zm. )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2"/>
          <w:szCs w:val="22"/>
        </w:rPr>
      </w:pPr>
      <w:r>
        <w:rPr>
          <w:b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b/>
          <w:i w:val="false"/>
          <w:iCs w:val="false"/>
          <w:color w:val="000000"/>
          <w:sz w:val="22"/>
          <w:szCs w:val="22"/>
          <w:u w:val="single"/>
        </w:rPr>
        <w:t>Gdzie składać lub wysyłać podania, wnioski lub inne dokumenty</w:t>
      </w:r>
      <w:r>
        <w:rPr>
          <w:b/>
          <w:i w:val="false"/>
          <w:iCs w:val="false"/>
          <w:color w:val="000000"/>
          <w:sz w:val="22"/>
          <w:szCs w:val="22"/>
        </w:rPr>
        <w:t xml:space="preserve"> :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  <w:t xml:space="preserve">Wniosek z kompletem dokumentów określonych w karcie informacyjnej można przesłać lub złożyć osobiście w </w:t>
      </w:r>
      <w:r>
        <w:rPr>
          <w:b/>
          <w:i w:val="false"/>
          <w:iCs w:val="false"/>
          <w:color w:val="000000"/>
          <w:sz w:val="22"/>
          <w:szCs w:val="22"/>
        </w:rPr>
        <w:t xml:space="preserve">Starostwie Powiatowym  w Lipnie, </w:t>
      </w:r>
    </w:p>
    <w:p>
      <w:pPr>
        <w:pStyle w:val="Normal"/>
        <w:jc w:val="center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2"/>
          <w:szCs w:val="22"/>
        </w:rPr>
      </w:pPr>
      <w:r>
        <w:rPr>
          <w:b/>
          <w:i w:val="false"/>
          <w:iCs w:val="false"/>
          <w:color w:val="000000"/>
          <w:sz w:val="22"/>
          <w:szCs w:val="22"/>
        </w:rPr>
        <w:t>ul. Sierakowskiego 10 b, 87-600 Lipno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2"/>
          <w:szCs w:val="22"/>
          <w:u w:val="single"/>
        </w:rPr>
      </w:pPr>
      <w:r>
        <w:rPr>
          <w:b/>
          <w:i w:val="false"/>
          <w:iCs w:val="false"/>
          <w:color w:val="000000"/>
          <w:sz w:val="22"/>
          <w:szCs w:val="22"/>
          <w:u w:val="single"/>
        </w:rPr>
        <w:t>Przewidywany termin i  forma załatwienia sprawy: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  <w:t>niezwłocznie, jednak nie dłużej  niż w ciągu miesiąca od złożenia wniosku, w przypadku sprawy skomplikowanej dwa miesiące,</w:t>
      </w:r>
    </w:p>
    <w:p>
      <w:pPr>
        <w:pStyle w:val="Normal"/>
        <w:numPr>
          <w:ilvl w:val="0"/>
          <w:numId w:val="3"/>
        </w:numPr>
        <w:spacing w:before="100" w:after="100"/>
        <w:rPr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  <w:t xml:space="preserve">decyzja starosty   w sprawie hodowania lub utrzymywania </w:t>
      </w:r>
      <w:r>
        <w:rPr>
          <w:rStyle w:val="Wyrnienie"/>
          <w:i w:val="false"/>
          <w:iCs w:val="false"/>
          <w:color w:val="000000"/>
          <w:sz w:val="22"/>
          <w:szCs w:val="22"/>
        </w:rPr>
        <w:t>chartów</w:t>
      </w:r>
      <w:r>
        <w:rPr>
          <w:i w:val="false"/>
          <w:iCs w:val="false"/>
          <w:color w:val="000000"/>
          <w:sz w:val="22"/>
          <w:szCs w:val="22"/>
        </w:rPr>
        <w:t xml:space="preserve"> rasowych lub ich mieszańców.</w:t>
      </w:r>
    </w:p>
    <w:p>
      <w:pPr>
        <w:pStyle w:val="Normal"/>
        <w:spacing w:before="100" w:after="100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2"/>
          <w:szCs w:val="22"/>
          <w:u w:val="single"/>
        </w:rPr>
      </w:pPr>
      <w:r>
        <w:rPr>
          <w:b/>
          <w:i w:val="false"/>
          <w:iCs w:val="false"/>
          <w:color w:val="000000"/>
          <w:sz w:val="22"/>
          <w:szCs w:val="22"/>
          <w:u w:val="single"/>
        </w:rPr>
      </w:r>
    </w:p>
    <w:p>
      <w:pPr>
        <w:pStyle w:val="Normal"/>
        <w:spacing w:before="100" w:after="100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2"/>
          <w:szCs w:val="22"/>
          <w:u w:val="single"/>
        </w:rPr>
      </w:pPr>
      <w:r>
        <w:rPr>
          <w:b/>
          <w:i w:val="false"/>
          <w:iCs w:val="false"/>
          <w:color w:val="000000"/>
          <w:sz w:val="22"/>
          <w:szCs w:val="22"/>
          <w:u w:val="single"/>
        </w:rPr>
        <w:t xml:space="preserve">Tryb odwoławczy: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  <w:t>Odwołanie od decyzji wnosi się do Samorządowego Kolegium Odwoławczego za pośrednictwem organu, który wydał decyzję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i w:val="false"/>
          <w:iCs w:val="false"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  <w:color w:val="00000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3">
    <w:name w:val="Heading 3"/>
    <w:basedOn w:val="Nagwek"/>
    <w:next w:val="Tretekstu"/>
    <w:qFormat/>
    <w:pPr>
      <w:numPr>
        <w:ilvl w:val="0"/>
        <w:numId w:val="0"/>
      </w:numPr>
      <w:outlineLvl w:val="2"/>
    </w:pPr>
    <w:rPr>
      <w:rFonts w:ascii="Times New Roman" w:hAnsi="Times New Roman" w:eastAsia="SimSun" w:cs="Mangal"/>
      <w:b/>
      <w:bCs/>
      <w:sz w:val="28"/>
      <w:szCs w:val="28"/>
    </w:rPr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sz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5z0">
    <w:name w:val="WW8Num5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wcity2">
    <w:name w:val="Tekst podstawowy wcięty 2"/>
    <w:basedOn w:val="Normal"/>
    <w:qFormat/>
    <w:pPr>
      <w:ind w:left="180" w:right="0" w:hanging="180"/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LibreOffice/6.2.3.2$Windows_X86_64 LibreOffice_project/aecc05fe267cc68dde00352a451aa867b3b546ac</Application>
  <Pages>1</Pages>
  <Words>285</Words>
  <Characters>1634</Characters>
  <CharactersWithSpaces>1939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2007-02-22T11:47:00Z</dcterms:created>
  <dc:creator>Starostwo Powiatowe  we Włoc</dc:creator>
  <dc:description/>
  <dc:language>pl-PL</dc:language>
  <cp:lastModifiedBy/>
  <cp:lastPrinted>2017-02-09T13:11:22Z</cp:lastPrinted>
  <dcterms:modified xsi:type="dcterms:W3CDTF">2024-04-15T09:16:12Z</dcterms:modified>
  <cp:revision>4</cp:revision>
  <dc:subject/>
  <dc:title>Karta  informacyjna</dc:title>
</cp:coreProperties>
</file>