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61" w:rsidRDefault="00841761" w:rsidP="00841761">
      <w:pPr>
        <w:pageBreakBefore/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Protokół Nr 31/2023</w:t>
      </w:r>
    </w:p>
    <w:p w:rsidR="00841761" w:rsidRDefault="00841761" w:rsidP="00841761">
      <w:pPr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z posiedzenia Komisji Rolnictwa, Leśnictwa, Ochrony Środowiska oraz Budownictwa                          i Gospodarki Nieruchomościami</w:t>
      </w:r>
    </w:p>
    <w:p w:rsidR="00415CE8" w:rsidRPr="00415CE8" w:rsidRDefault="00841761" w:rsidP="00E4551F">
      <w:pPr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w dniu</w:t>
      </w:r>
      <w:r w:rsidR="007428AC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23 listopada</w:t>
      </w: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2023 roku</w:t>
      </w:r>
      <w:bookmarkStart w:id="0" w:name="_GoBack"/>
      <w:bookmarkEnd w:id="0"/>
    </w:p>
    <w:p w:rsidR="00841761" w:rsidRPr="00415CE8" w:rsidRDefault="00841761" w:rsidP="00415CE8">
      <w:pPr>
        <w:suppressAutoHyphens/>
        <w:spacing w:after="0" w:line="360" w:lineRule="auto"/>
        <w:ind w:firstLine="708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Posiedzenie Komisji </w:t>
      </w:r>
      <w:bookmarkStart w:id="1" w:name="_Hlk151539688"/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Rolnictwa, Leśnictwa, Ochrony Środowiska oraz Budownictwa                               i Gospodarki Nieruchomościami </w:t>
      </w:r>
      <w:bookmarkEnd w:id="1"/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Rady Powiatu w Lipnie zwołane zostało przez Przewodniczącego Komisji- Pana Zbigniewa Agacińskiego. Odbyło się w Starostwie Powiatowym w Lipnie, ul. Sierakowskiego 10 b.</w:t>
      </w:r>
    </w:p>
    <w:p w:rsidR="00841761" w:rsidRPr="00415CE8" w:rsidRDefault="00841761" w:rsidP="00415C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b/>
          <w:kern w:val="2"/>
          <w:sz w:val="23"/>
          <w:szCs w:val="23"/>
          <w:lang w:eastAsia="zh-CN" w:bidi="hi-IN"/>
        </w:rPr>
        <w:t>Otwarcie posiedzenia.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Przewodniczący Komisji Zbigniew Agaciński przywitał członków Komisji i dokonał otwarcia posiedzenia. </w:t>
      </w:r>
    </w:p>
    <w:p w:rsidR="00841761" w:rsidRPr="00415CE8" w:rsidRDefault="00841761" w:rsidP="00415C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b/>
          <w:kern w:val="2"/>
          <w:sz w:val="23"/>
          <w:szCs w:val="23"/>
          <w:lang w:eastAsia="zh-CN" w:bidi="hi-IN"/>
        </w:rPr>
        <w:t>Stwierdzenie quorum.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Przewodniczący Komisj</w:t>
      </w:r>
      <w:r w:rsidR="00F903FF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i stwierdził, że obecnych jest 4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członków na 5-osobowy skład Komisji, zatem podejmowane decyzje będą prawomocne. </w:t>
      </w:r>
      <w:r w:rsidR="00F903FF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Nieobecna radna Maria Kulig. 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W posie</w:t>
      </w:r>
      <w:r w:rsidR="00B509B1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dzeniu udział wzięła</w:t>
      </w:r>
      <w:r w:rsidR="007428AC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również Pani Eliza Jałowiecka-</w:t>
      </w:r>
      <w:r w:rsidR="00411B11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</w:t>
      </w:r>
      <w:proofErr w:type="spellStart"/>
      <w:r w:rsidR="007428AC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Rudewicz</w:t>
      </w:r>
      <w:proofErr w:type="spellEnd"/>
      <w:r w:rsidR="007428AC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–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</w:t>
      </w:r>
      <w:r w:rsidR="007428AC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Naczelnik Wydziału Środowiska i Architektury.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/lista obecności w załączeniu do protokołu/</w:t>
      </w:r>
    </w:p>
    <w:p w:rsidR="00841761" w:rsidRPr="00415CE8" w:rsidRDefault="00841761" w:rsidP="00415C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b/>
          <w:kern w:val="2"/>
          <w:sz w:val="23"/>
          <w:szCs w:val="23"/>
          <w:lang w:eastAsia="zh-CN" w:bidi="hi-IN"/>
        </w:rPr>
        <w:t>Przyjęcie porządku posiedzenia.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Przewodniczący Komisji odczytał proponowany porządek posiedzenia i zwrócił się do członków Komisji o uwagi.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Uwag nie było.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Następujący porządek posiedzenia Komisja przyjęła jednogłośnie:</w:t>
      </w:r>
    </w:p>
    <w:p w:rsidR="0042212B" w:rsidRPr="00415CE8" w:rsidRDefault="0042212B" w:rsidP="00415CE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Otwarcie posiedzenia.</w:t>
      </w:r>
    </w:p>
    <w:p w:rsidR="0042212B" w:rsidRPr="00415CE8" w:rsidRDefault="0042212B" w:rsidP="00415CE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Stwierdzenie quorum.</w:t>
      </w:r>
    </w:p>
    <w:p w:rsidR="0042212B" w:rsidRPr="00415CE8" w:rsidRDefault="0042212B" w:rsidP="00415CE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Przyjęcie porządku posiedzenia.</w:t>
      </w:r>
    </w:p>
    <w:p w:rsidR="0042212B" w:rsidRPr="00415CE8" w:rsidRDefault="0042212B" w:rsidP="00415CE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Przyjęcie protokołu z poprzedniego posiedzenia Komisji.</w:t>
      </w:r>
    </w:p>
    <w:p w:rsidR="0042212B" w:rsidRPr="00415CE8" w:rsidRDefault="0042212B" w:rsidP="00415CE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Zaopiniowanie materiałów kierowanych na sesję Rady:</w:t>
      </w:r>
    </w:p>
    <w:p w:rsidR="0042212B" w:rsidRPr="00415CE8" w:rsidRDefault="0042212B" w:rsidP="00415CE8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- zmiany Uchwały Nr LV/478/2023 Rady Powiatu z dnia 27.10.2023 r. w sprawie ustalenia wysokości stawki jednostkowej dotacji przedmiotowej dla samorządowego zakładu budżetowego- Powiatowego Zakładu Transportu Publicznego w Lipnie na 2023 r.;</w:t>
      </w:r>
    </w:p>
    <w:p w:rsidR="0042212B" w:rsidRPr="00415CE8" w:rsidRDefault="0042212B" w:rsidP="00415CE8">
      <w:pPr>
        <w:spacing w:after="0" w:line="360" w:lineRule="auto"/>
        <w:ind w:left="720"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- przyjęcia „Raportu z wykonania "Programu Ochrony </w:t>
      </w:r>
      <w:r w:rsidRPr="00415CE8">
        <w:rPr>
          <w:rFonts w:ascii="Times New Roman" w:eastAsiaTheme="minorHAnsi" w:hAnsi="Times New Roman" w:hint="cs"/>
          <w:kern w:val="2"/>
          <w:sz w:val="23"/>
          <w:szCs w:val="23"/>
          <w14:ligatures w14:val="standardContextual"/>
        </w:rPr>
        <w:t>Ś</w:t>
      </w: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rodowiska dla Powiatu Lipnowskiego na lata 2016 - 2018 z perspektyw</w:t>
      </w:r>
      <w:r w:rsidRPr="00415CE8">
        <w:rPr>
          <w:rFonts w:ascii="Times New Roman" w:eastAsiaTheme="minorHAnsi" w:hAnsi="Times New Roman" w:hint="cs"/>
          <w:kern w:val="2"/>
          <w:sz w:val="23"/>
          <w:szCs w:val="23"/>
          <w14:ligatures w14:val="standardContextual"/>
        </w:rPr>
        <w:t>ą</w:t>
      </w: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do roku 2022", za lata 2019-2022r. </w:t>
      </w:r>
    </w:p>
    <w:p w:rsidR="0042212B" w:rsidRPr="00415CE8" w:rsidRDefault="0042212B" w:rsidP="00415CE8">
      <w:pPr>
        <w:spacing w:after="0" w:line="360" w:lineRule="auto"/>
        <w:ind w:left="567" w:firstLine="141"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lastRenderedPageBreak/>
        <w:t>- wyrażenia zgody na zbycie mienia Powiatu Lipnowskiego</w:t>
      </w:r>
    </w:p>
    <w:p w:rsidR="0042212B" w:rsidRPr="00415CE8" w:rsidRDefault="0042212B" w:rsidP="00415CE8">
      <w:pPr>
        <w:spacing w:after="0" w:line="360" w:lineRule="auto"/>
        <w:ind w:left="360"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6. Sprawy różne.</w:t>
      </w:r>
    </w:p>
    <w:p w:rsidR="0042212B" w:rsidRPr="00415CE8" w:rsidRDefault="0042212B" w:rsidP="00415CE8">
      <w:pPr>
        <w:spacing w:after="0" w:line="360" w:lineRule="auto"/>
        <w:ind w:left="360"/>
        <w:jc w:val="both"/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7. Zakończenie.</w:t>
      </w:r>
    </w:p>
    <w:p w:rsidR="00841761" w:rsidRPr="00415CE8" w:rsidRDefault="00841761" w:rsidP="00415CE8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/>
          <w:b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b/>
          <w:kern w:val="2"/>
          <w:sz w:val="23"/>
          <w:szCs w:val="23"/>
          <w:lang w:eastAsia="zh-CN" w:bidi="hi-IN"/>
        </w:rPr>
        <w:t>Ad 4. Przyjęcie protokołu z poprzedniego posiedzenia Komisji.</w:t>
      </w:r>
    </w:p>
    <w:p w:rsidR="00841761" w:rsidRPr="00415CE8" w:rsidRDefault="00841761" w:rsidP="00415CE8">
      <w:p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Przewodniczący Komisji zapytał członków Komisji czy mają uwagi do protokołu z poprzedniego posiedzenia Komisji.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Uwag nie było.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Komisja jedn</w:t>
      </w:r>
      <w:r w:rsidR="007B20E2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ogłośnie przyjęła Protokół Nr 30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/2023 z posiedzenia Komisji Rolnictwa, Leśnictwa, Ochrony Środowiska oraz Budownictwa i Gospodarki Nieruchomościami w dniu </w:t>
      </w:r>
      <w:r w:rsidR="007B20E2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6 września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2023 roku.</w:t>
      </w:r>
    </w:p>
    <w:p w:rsidR="00411B11" w:rsidRPr="00415CE8" w:rsidRDefault="00411B11" w:rsidP="00415CE8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>Ad. 5. Zaopiniowanie materiałów kierowanych na sesję Rady:</w:t>
      </w:r>
    </w:p>
    <w:p w:rsidR="00411B11" w:rsidRPr="00415CE8" w:rsidRDefault="00411B11" w:rsidP="00415CE8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>- zmiany Uchwały Nr LV/478/2023 Rady Powiatu z dnia 27.10.2023 r. w sprawie ustalenia wysokości stawki jednostkowej dotacji przedmiotowej dla samorządowego zakładu budżetowego- Powiatowego Zakładu Transportu Publicznego w Lipnie na 2023 r.;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Przewodniczący Komisji </w:t>
      </w:r>
      <w:r w:rsidR="00D82067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powiedział </w:t>
      </w:r>
      <w:r w:rsidR="00945FA2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przedstawił niniejszy projekt uchwały i 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zwrócił się do członków Komisji o pytania, uwagi.  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Uwag nie było.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Komisja Rolnictwa, Leśnictwa, Ochrony Środowiska oraz Budownictwa i Gospodarki Nieruchomościami w obecności</w:t>
      </w:r>
      <w:r w:rsidR="005561A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4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członków na 5-osobowy skład Komisji jednogłośnie pozytywnie zaopiniowała </w:t>
      </w:r>
      <w:r w:rsidR="00945FA2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projekt uchwały w sprawie </w:t>
      </w:r>
      <w:r w:rsidR="00945FA2"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zmiany Uchwały Nr LV/478/2023 Rady Powiatu z dnia 27.10.2023 r. w sprawie ustalenia wysokości stawki jednostkowej dotacji przedmiotowej dla samorządowego zakładu budżetowego- Powiatowego Zakładu Transportu Publicznego w Lipnie na 2023 r.</w:t>
      </w:r>
    </w:p>
    <w:p w:rsidR="00411B11" w:rsidRPr="00415CE8" w:rsidRDefault="00411B11" w:rsidP="00415CE8">
      <w:pPr>
        <w:spacing w:after="0" w:line="360" w:lineRule="auto"/>
        <w:jc w:val="both"/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>-</w:t>
      </w:r>
      <w:r w:rsidR="00945FA2"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 xml:space="preserve"> przyjęcia „Raportu z wykonania </w:t>
      </w:r>
      <w:r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 xml:space="preserve">"Programu Ochrony </w:t>
      </w:r>
      <w:r w:rsidRPr="00415CE8">
        <w:rPr>
          <w:rFonts w:ascii="Times New Roman" w:eastAsiaTheme="minorHAnsi" w:hAnsi="Times New Roman" w:hint="cs"/>
          <w:b/>
          <w:kern w:val="2"/>
          <w:sz w:val="23"/>
          <w:szCs w:val="23"/>
          <w14:ligatures w14:val="standardContextual"/>
        </w:rPr>
        <w:t>Ś</w:t>
      </w:r>
      <w:r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>rodowiska dla Powiatu Lipnowskiego na lata 2016 - 2018 z perspektyw</w:t>
      </w:r>
      <w:r w:rsidRPr="00415CE8">
        <w:rPr>
          <w:rFonts w:ascii="Times New Roman" w:eastAsiaTheme="minorHAnsi" w:hAnsi="Times New Roman" w:hint="cs"/>
          <w:b/>
          <w:kern w:val="2"/>
          <w:sz w:val="23"/>
          <w:szCs w:val="23"/>
          <w14:ligatures w14:val="standardContextual"/>
        </w:rPr>
        <w:t>ą</w:t>
      </w:r>
      <w:r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 xml:space="preserve"> do roku 2022", za lata 2019-2022r. </w:t>
      </w:r>
    </w:p>
    <w:p w:rsidR="00065A3B" w:rsidRPr="00415CE8" w:rsidRDefault="00065A3B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Przewodniczący Komisji poprosił Panią Elizę Jałowiecka- </w:t>
      </w:r>
      <w:proofErr w:type="spellStart"/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Rudewicz</w:t>
      </w:r>
      <w:proofErr w:type="spellEnd"/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– Naczelnik</w:t>
      </w:r>
      <w:r w:rsidR="00AF775B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a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Wydziału Środowiska i Architektury</w:t>
      </w:r>
      <w:r w:rsidR="00AF775B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o krótkie omówienie projektu uchwały. </w:t>
      </w:r>
    </w:p>
    <w:p w:rsidR="00065A3B" w:rsidRPr="00415CE8" w:rsidRDefault="00AF775B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Pani E. Jałowiecka- </w:t>
      </w:r>
      <w:proofErr w:type="spellStart"/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Rudewicz</w:t>
      </w:r>
      <w:proofErr w:type="spellEnd"/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– Naczelnik Wydziału Środowiska i Architektury </w:t>
      </w:r>
      <w:r w:rsidR="009E021D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powiedziała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, że</w:t>
      </w:r>
      <w:r w:rsidR="009E021D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program ochrony środowiska przygotowywany </w:t>
      </w:r>
      <w:r w:rsidR="00880EA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jest przez pracowników wydziału</w:t>
      </w:r>
      <w:r w:rsidR="009E021D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. </w:t>
      </w:r>
      <w:r w:rsidR="007533B3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Program ten trzeba raportować</w:t>
      </w:r>
      <w:r w:rsidR="00880EA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co 2 lata</w:t>
      </w:r>
      <w:r w:rsidR="00591BBE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.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</w:t>
      </w:r>
      <w:r w:rsidR="00880EA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Powiat nie ma nie </w:t>
      </w:r>
      <w:r w:rsidR="00FC41A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instrumentów, które pozwoliły by mieć bardzo duży realny </w:t>
      </w:r>
      <w:r w:rsidR="000E302E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wpływ </w:t>
      </w:r>
      <w:r w:rsidR="00FC41A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na </w:t>
      </w:r>
      <w:r w:rsidR="000E302E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to</w:t>
      </w:r>
      <w:r w:rsidR="00880EA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co się dzieje</w:t>
      </w:r>
      <w:r w:rsidR="00303AD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. Natomiast Powiat</w:t>
      </w:r>
      <w:r w:rsidR="00D5344E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może swoimi zadaniami </w:t>
      </w:r>
      <w:r w:rsidR="001273A3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realizowanymi  własnymi</w:t>
      </w:r>
      <w:r w:rsidR="00D5344E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</w:t>
      </w:r>
      <w:r w:rsidR="001273A3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środkami</w:t>
      </w:r>
      <w:r w:rsidR="00D5344E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inwestycyjnymi poprzez </w:t>
      </w:r>
      <w:r w:rsidR="001273A3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instalowanie paneli fotowoltaicznych, dokonywania </w:t>
      </w:r>
      <w:proofErr w:type="spellStart"/>
      <w:r w:rsidR="001273A3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nasadzeń</w:t>
      </w:r>
      <w:proofErr w:type="spellEnd"/>
      <w:r w:rsidR="001E49F9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, prowadzenie edukacji </w:t>
      </w:r>
      <w:r w:rsidR="008A013D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ekologicznej</w:t>
      </w:r>
      <w:r w:rsidR="00C80D88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. </w:t>
      </w:r>
      <w:r w:rsidR="008A013D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Przy raportowaniu bazowano głownie z danych z urzędu statystycznego</w:t>
      </w:r>
      <w:r w:rsidR="00C87C99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. </w:t>
      </w:r>
      <w:r w:rsidR="005B4C5D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Sporządzenie raportu </w:t>
      </w:r>
      <w:r w:rsidR="00E4277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przez zarząd </w:t>
      </w:r>
      <w:r w:rsidR="005B4C5D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jest obowiązkiem ustawowym</w:t>
      </w:r>
      <w:r w:rsidR="00E42775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i musi go przedstawić radzie. </w:t>
      </w:r>
      <w:r w:rsidR="00C80D88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Obecnie </w:t>
      </w:r>
      <w:r w:rsidR="00A54338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kończą</w:t>
      </w:r>
      <w:r w:rsidR="00C80D88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się prace nad nowym  programem ochrony środowiska. </w:t>
      </w:r>
      <w:r w:rsidR="004465E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Program opiniowany jest pozytywnie przez organy. Starosta ma </w:t>
      </w:r>
      <w:r w:rsidR="00A54338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obowiązek</w:t>
      </w:r>
      <w:r w:rsidR="004465E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 promowania edukacji ekologicznej w związku z tym </w:t>
      </w:r>
      <w:r w:rsidR="00A54338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organizowane</w:t>
      </w:r>
      <w:r w:rsidR="004465E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są konkursy o wiedzy ekologicznej na dożynkach, </w:t>
      </w:r>
      <w:r w:rsidR="00A54338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przekazywane są informacje do szkół, organizowane są różne pogadanki o lasach. </w:t>
      </w:r>
      <w:r w:rsidR="00E90679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Przewodniczący Komisji podziękował za omówienie </w:t>
      </w:r>
      <w:r w:rsidR="005561A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projektu uchwały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i zwrócił się do członków Komisji o pytania, uwagi.  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Uwag nie było.</w:t>
      </w:r>
    </w:p>
    <w:p w:rsidR="00BD6100" w:rsidRPr="00415CE8" w:rsidRDefault="00BD6100" w:rsidP="00415CE8">
      <w:pPr>
        <w:spacing w:after="0" w:line="360" w:lineRule="auto"/>
        <w:jc w:val="both"/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Komisja Rolnictwa, Leśnictwa, Ochrony Środowiska oraz Budownictwa i Gospodarki Nieruchomościami w obecności</w:t>
      </w:r>
      <w:r w:rsidR="005561A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4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członków na 5-osobowy skład Komisji jednogłośnie pozytywnie zaopiniowała</w:t>
      </w:r>
      <w:r w:rsidR="005561A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projekt uchwały w sprawie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</w:t>
      </w:r>
      <w:r w:rsidR="005561AA"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przyjęcia „Raportu z wykonania "Programu Ochrony </w:t>
      </w:r>
      <w:r w:rsidR="005561AA" w:rsidRPr="00415CE8">
        <w:rPr>
          <w:rFonts w:ascii="Times New Roman" w:eastAsiaTheme="minorHAnsi" w:hAnsi="Times New Roman" w:hint="cs"/>
          <w:kern w:val="2"/>
          <w:sz w:val="23"/>
          <w:szCs w:val="23"/>
          <w14:ligatures w14:val="standardContextual"/>
        </w:rPr>
        <w:t>Ś</w:t>
      </w:r>
      <w:r w:rsidR="005561AA"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rodowiska dla Powiatu Lipnowskiego na lata 2016 - 2018 z perspektyw</w:t>
      </w:r>
      <w:r w:rsidR="005561AA" w:rsidRPr="00415CE8">
        <w:rPr>
          <w:rFonts w:ascii="Times New Roman" w:eastAsiaTheme="minorHAnsi" w:hAnsi="Times New Roman" w:hint="cs"/>
          <w:kern w:val="2"/>
          <w:sz w:val="23"/>
          <w:szCs w:val="23"/>
          <w14:ligatures w14:val="standardContextual"/>
        </w:rPr>
        <w:t>ą</w:t>
      </w:r>
      <w:r w:rsidR="005561AA"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do roku 2022", za lata 2019-2022r. </w:t>
      </w:r>
    </w:p>
    <w:p w:rsidR="00411B11" w:rsidRPr="00415CE8" w:rsidRDefault="00411B11" w:rsidP="00415CE8">
      <w:pPr>
        <w:spacing w:after="0" w:line="360" w:lineRule="auto"/>
        <w:jc w:val="both"/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</w:pPr>
      <w:r w:rsidRPr="00415CE8">
        <w:rPr>
          <w:rFonts w:ascii="Times New Roman" w:eastAsiaTheme="minorHAnsi" w:hAnsi="Times New Roman"/>
          <w:b/>
          <w:kern w:val="2"/>
          <w:sz w:val="23"/>
          <w:szCs w:val="23"/>
          <w14:ligatures w14:val="standardContextual"/>
        </w:rPr>
        <w:t>- wyrażenia zgody na zbycie mienia Powiatu Lipnowskiego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Przewodniczący Komisji </w:t>
      </w:r>
      <w:r w:rsidR="005561A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przedstawił projekt uchwały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i zwrócił się do członków Komisji o pytania, uwagi.  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Uwag nie było.</w:t>
      </w:r>
    </w:p>
    <w:p w:rsidR="00BD6100" w:rsidRPr="00415CE8" w:rsidRDefault="00BD6100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Komisja Rolnictwa, Leśnictwa, Ochrony Środowiska oraz Budownictwa i Gospodarki Nieruchomościami w obecności</w:t>
      </w:r>
      <w:r w:rsidR="005561A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4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członków na 5-osobowy skład Komisji jednogłośnie pozytywnie zaopiniowała </w:t>
      </w:r>
      <w:r w:rsidR="0056474C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projekt uchwały w sprawie </w:t>
      </w:r>
      <w:r w:rsidR="0056474C" w:rsidRPr="00415CE8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wyrażenia zgody na zbycie mienia Powiatu Lipnowskiego</w:t>
      </w:r>
    </w:p>
    <w:p w:rsidR="00841761" w:rsidRPr="00415CE8" w:rsidRDefault="005561AA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b/>
          <w:bCs/>
          <w:kern w:val="2"/>
          <w:sz w:val="23"/>
          <w:szCs w:val="23"/>
          <w:lang w:eastAsia="zh-CN" w:bidi="hi-IN"/>
        </w:rPr>
        <w:t>Ad. 6</w:t>
      </w:r>
      <w:r w:rsidR="00841761" w:rsidRPr="00415CE8">
        <w:rPr>
          <w:rFonts w:ascii="Times New Roman" w:eastAsia="NSimSun" w:hAnsi="Times New Roman"/>
          <w:b/>
          <w:bCs/>
          <w:kern w:val="2"/>
          <w:sz w:val="23"/>
          <w:szCs w:val="23"/>
          <w:lang w:eastAsia="zh-CN" w:bidi="hi-IN"/>
        </w:rPr>
        <w:t>. Sprawy różne.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Nie było.</w:t>
      </w:r>
    </w:p>
    <w:p w:rsidR="00841761" w:rsidRPr="00415CE8" w:rsidRDefault="00841761" w:rsidP="00415CE8">
      <w:pPr>
        <w:pStyle w:val="Standard"/>
        <w:spacing w:line="360" w:lineRule="auto"/>
        <w:ind w:right="424"/>
        <w:jc w:val="both"/>
        <w:textAlignment w:val="baseline"/>
        <w:rPr>
          <w:rFonts w:ascii="Times New Roman" w:hAnsi="Times New Roman"/>
          <w:kern w:val="2"/>
          <w:sz w:val="23"/>
          <w:szCs w:val="23"/>
        </w:rPr>
      </w:pPr>
      <w:r w:rsidRPr="00415CE8">
        <w:rPr>
          <w:rFonts w:ascii="Times New Roman" w:hAnsi="Times New Roman"/>
          <w:b/>
          <w:bCs/>
          <w:kern w:val="2"/>
          <w:sz w:val="23"/>
          <w:szCs w:val="23"/>
        </w:rPr>
        <w:t xml:space="preserve">Ad </w:t>
      </w:r>
      <w:r w:rsidR="005561AA" w:rsidRPr="00415CE8">
        <w:rPr>
          <w:rFonts w:ascii="Times New Roman" w:hAnsi="Times New Roman"/>
          <w:b/>
          <w:bCs/>
          <w:kern w:val="2"/>
          <w:sz w:val="23"/>
          <w:szCs w:val="23"/>
        </w:rPr>
        <w:t>7</w:t>
      </w:r>
      <w:r w:rsidRPr="00415CE8">
        <w:rPr>
          <w:rFonts w:ascii="Times New Roman" w:hAnsi="Times New Roman"/>
          <w:b/>
          <w:bCs/>
          <w:kern w:val="2"/>
          <w:sz w:val="23"/>
          <w:szCs w:val="23"/>
        </w:rPr>
        <w:t>. Zakończenie.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Po wyczerpaniu porządku posiedzenia Przewodniczący Komisji Zbigniew Agaciński zamknął posiedzenie Komisji Rolnictwa, Leśnictwa, Ochrony Środowiska oraz Budownictwa                                   i Gospodarki Nieruchomościami w dniu </w:t>
      </w:r>
      <w:r w:rsidR="005561AA"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23 listopada</w:t>
      </w: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 xml:space="preserve"> 2023 roku.</w:t>
      </w:r>
    </w:p>
    <w:p w:rsidR="00841761" w:rsidRPr="00415CE8" w:rsidRDefault="00841761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</w:p>
    <w:p w:rsidR="00841761" w:rsidRPr="00415CE8" w:rsidRDefault="00841761" w:rsidP="00841761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Protokołowała:</w:t>
      </w:r>
    </w:p>
    <w:p w:rsidR="00841761" w:rsidRDefault="005C6677" w:rsidP="00415CE8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415CE8">
        <w:rPr>
          <w:rFonts w:ascii="Times New Roman" w:eastAsia="NSimSun" w:hAnsi="Times New Roman"/>
          <w:kern w:val="2"/>
          <w:sz w:val="23"/>
          <w:szCs w:val="23"/>
          <w:lang w:eastAsia="zh-CN" w:bidi="hi-IN"/>
        </w:rPr>
        <w:t>Karolina Stasiak</w:t>
      </w:r>
      <w:r w:rsidR="00841761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 w:rsidR="00841761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 w:rsidR="00841761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</w:p>
    <w:p w:rsidR="00841761" w:rsidRDefault="00841761" w:rsidP="00841761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Przewodniczący Komisji</w:t>
      </w:r>
    </w:p>
    <w:p w:rsidR="00841761" w:rsidRDefault="00841761" w:rsidP="00841761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Rolnictwa, Leśnictwa, Ochrony Środowiska</w:t>
      </w:r>
    </w:p>
    <w:p w:rsidR="00841761" w:rsidRDefault="00841761" w:rsidP="00841761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oraz Budownictwa i Gospodarki Nieruchomościami</w:t>
      </w:r>
    </w:p>
    <w:p w:rsidR="00841761" w:rsidRDefault="00841761" w:rsidP="00841761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p w:rsidR="00841761" w:rsidRDefault="00841761" w:rsidP="00841761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>Zbigniew Agaciński</w:t>
      </w:r>
    </w:p>
    <w:p w:rsidR="00841761" w:rsidRDefault="00841761" w:rsidP="00841761">
      <w:pPr>
        <w:rPr>
          <w:rFonts w:ascii="Times New Roman" w:hAnsi="Times New Roman"/>
          <w:sz w:val="24"/>
          <w:szCs w:val="24"/>
        </w:rPr>
      </w:pPr>
    </w:p>
    <w:p w:rsidR="00841761" w:rsidRDefault="00841761" w:rsidP="00841761">
      <w:pPr>
        <w:rPr>
          <w:sz w:val="24"/>
          <w:szCs w:val="24"/>
        </w:rPr>
      </w:pPr>
    </w:p>
    <w:p w:rsidR="00841761" w:rsidRDefault="00841761" w:rsidP="00841761"/>
    <w:p w:rsidR="006B0075" w:rsidRDefault="006B0075"/>
    <w:sectPr w:rsidR="006B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8776A9E"/>
    <w:multiLevelType w:val="hybridMultilevel"/>
    <w:tmpl w:val="469A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A93"/>
    <w:multiLevelType w:val="hybridMultilevel"/>
    <w:tmpl w:val="ED40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61"/>
    <w:rsid w:val="00065A3B"/>
    <w:rsid w:val="000E302E"/>
    <w:rsid w:val="001273A3"/>
    <w:rsid w:val="001E49F9"/>
    <w:rsid w:val="00272605"/>
    <w:rsid w:val="00303ADA"/>
    <w:rsid w:val="00411B11"/>
    <w:rsid w:val="00415CE8"/>
    <w:rsid w:val="0042212B"/>
    <w:rsid w:val="004465EA"/>
    <w:rsid w:val="005561AA"/>
    <w:rsid w:val="0056474C"/>
    <w:rsid w:val="00591BBE"/>
    <w:rsid w:val="005B4C5D"/>
    <w:rsid w:val="005C6677"/>
    <w:rsid w:val="00684EC8"/>
    <w:rsid w:val="006B0075"/>
    <w:rsid w:val="007428AC"/>
    <w:rsid w:val="007533B3"/>
    <w:rsid w:val="007B20E2"/>
    <w:rsid w:val="00841761"/>
    <w:rsid w:val="00880EA5"/>
    <w:rsid w:val="008A013D"/>
    <w:rsid w:val="00945FA2"/>
    <w:rsid w:val="009E021D"/>
    <w:rsid w:val="00A54338"/>
    <w:rsid w:val="00AF775B"/>
    <w:rsid w:val="00B509B1"/>
    <w:rsid w:val="00BD6100"/>
    <w:rsid w:val="00C679BE"/>
    <w:rsid w:val="00C80D88"/>
    <w:rsid w:val="00C87C99"/>
    <w:rsid w:val="00D5344E"/>
    <w:rsid w:val="00D82067"/>
    <w:rsid w:val="00D92686"/>
    <w:rsid w:val="00E42775"/>
    <w:rsid w:val="00E4551F"/>
    <w:rsid w:val="00E90679"/>
    <w:rsid w:val="00F903FF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75D62-3FC9-4D91-AF56-C99159C1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76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17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9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5681-4351-4833-B6B6-DA64BCF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7</cp:revision>
  <cp:lastPrinted>2023-12-28T10:55:00Z</cp:lastPrinted>
  <dcterms:created xsi:type="dcterms:W3CDTF">2023-12-08T08:15:00Z</dcterms:created>
  <dcterms:modified xsi:type="dcterms:W3CDTF">2023-12-28T10:58:00Z</dcterms:modified>
</cp:coreProperties>
</file>